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6BB" w:rsidRDefault="00EB66BB" w:rsidP="00EB66BB">
      <w:pPr>
        <w:spacing w:line="600" w:lineRule="exact"/>
        <w:jc w:val="center"/>
        <w:rPr>
          <w:rFonts w:ascii="宋体" w:eastAsia="宋体" w:hAnsi="宋体"/>
          <w:b/>
          <w:sz w:val="24"/>
        </w:rPr>
      </w:pPr>
      <w:bookmarkStart w:id="0" w:name="_GoBack"/>
      <w:r>
        <w:rPr>
          <w:rFonts w:ascii="宋体" w:eastAsia="宋体" w:hAnsi="宋体" w:hint="eastAsia"/>
          <w:b/>
          <w:sz w:val="24"/>
        </w:rPr>
        <w:t>表1-1-2 南昌市国家森林城市建设指标评估结果达标情况一览表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7938"/>
        <w:gridCol w:w="1733"/>
      </w:tblGrid>
      <w:tr w:rsidR="00EB66BB" w:rsidRPr="004D19A5" w:rsidTr="00052CD8">
        <w:tc>
          <w:tcPr>
            <w:tcW w:w="4503" w:type="dxa"/>
          </w:tcPr>
          <w:bookmarkEnd w:id="0"/>
          <w:p w:rsidR="00EB66BB" w:rsidRPr="004D19A5" w:rsidRDefault="00EB66BB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评价标准</w:t>
            </w:r>
          </w:p>
        </w:tc>
        <w:tc>
          <w:tcPr>
            <w:tcW w:w="7938" w:type="dxa"/>
          </w:tcPr>
          <w:p w:rsidR="00EB66BB" w:rsidRPr="004D19A5" w:rsidRDefault="00EB66BB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现状评价</w:t>
            </w:r>
          </w:p>
        </w:tc>
        <w:tc>
          <w:tcPr>
            <w:tcW w:w="1733" w:type="dxa"/>
          </w:tcPr>
          <w:p w:rsidR="00EB66BB" w:rsidRPr="004D19A5" w:rsidRDefault="00EB66BB" w:rsidP="00052CD8">
            <w:pPr>
              <w:spacing w:line="48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达标情况</w:t>
            </w:r>
          </w:p>
        </w:tc>
      </w:tr>
      <w:tr w:rsidR="00EB66BB" w:rsidRPr="004D19A5" w:rsidTr="00052CD8">
        <w:tc>
          <w:tcPr>
            <w:tcW w:w="14174" w:type="dxa"/>
            <w:gridSpan w:val="3"/>
          </w:tcPr>
          <w:p w:rsidR="00EB66BB" w:rsidRPr="004D19A5" w:rsidRDefault="00EB66BB" w:rsidP="00052CD8">
            <w:pPr>
              <w:spacing w:line="48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4D19A5">
              <w:rPr>
                <w:rFonts w:ascii="宋体" w:eastAsia="宋体" w:hAnsi="宋体" w:hint="eastAsia"/>
                <w:b/>
                <w:sz w:val="24"/>
              </w:rPr>
              <w:t>（一）森林网络</w:t>
            </w:r>
          </w:p>
        </w:tc>
      </w:tr>
      <w:tr w:rsidR="00EB66BB" w:rsidTr="00052CD8">
        <w:tc>
          <w:tcPr>
            <w:tcW w:w="14174" w:type="dxa"/>
            <w:gridSpan w:val="3"/>
          </w:tcPr>
          <w:p w:rsidR="00EB66B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1 林木覆盖率</w:t>
            </w:r>
          </w:p>
        </w:tc>
      </w:tr>
      <w:tr w:rsidR="00EB66BB" w:rsidRPr="004D19A5" w:rsidTr="00052CD8">
        <w:tc>
          <w:tcPr>
            <w:tcW w:w="4503" w:type="dxa"/>
          </w:tcPr>
          <w:p w:rsidR="00EB66BB" w:rsidRPr="004D19A5" w:rsidRDefault="00EB66BB" w:rsidP="00052CD8">
            <w:pPr>
              <w:spacing w:before="240" w:line="400" w:lineRule="exact"/>
              <w:jc w:val="left"/>
              <w:rPr>
                <w:rFonts w:ascii="微软雅黑" w:eastAsia="微软雅黑" w:hAnsi="微软雅黑"/>
              </w:rPr>
            </w:pPr>
            <w:r w:rsidRPr="004D19A5">
              <w:rPr>
                <w:rFonts w:ascii="微软雅黑" w:eastAsia="微软雅黑" w:hAnsi="微软雅黑" w:hint="eastAsia"/>
              </w:rPr>
              <w:t>年降水量800毫米以上</w:t>
            </w:r>
            <w:r>
              <w:rPr>
                <w:rFonts w:ascii="微软雅黑" w:eastAsia="微软雅黑" w:hAnsi="微软雅黑" w:hint="eastAsia"/>
              </w:rPr>
              <w:t>的城市，山区城市林木覆盖率达35%以上，平原城市林木覆盖率30%以上。</w:t>
            </w:r>
          </w:p>
        </w:tc>
        <w:tc>
          <w:tcPr>
            <w:tcW w:w="7938" w:type="dxa"/>
          </w:tcPr>
          <w:p w:rsidR="00EB66BB" w:rsidRPr="004D19A5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国土面积719498.00公顷，湿地面积总74353.48公顷，剔除湿地后总面积为645144.52公顷。南昌市现有乔木林100774.09公顷，竹林9056.91公顷，灌木林19547.72公顷，“四旁”植树面积45161.55公顷，城区乔木、灌木20042.80公顷，林木覆盖率为30.16%。</w:t>
            </w:r>
          </w:p>
        </w:tc>
        <w:tc>
          <w:tcPr>
            <w:tcW w:w="1733" w:type="dxa"/>
            <w:shd w:val="clear" w:color="auto" w:fill="auto"/>
          </w:tcPr>
          <w:p w:rsidR="00EB66BB" w:rsidRPr="004D19A5" w:rsidRDefault="00EB66BB" w:rsidP="00052CD8">
            <w:pPr>
              <w:spacing w:line="144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Tr="00052CD8">
        <w:tc>
          <w:tcPr>
            <w:tcW w:w="14174" w:type="dxa"/>
            <w:gridSpan w:val="3"/>
          </w:tcPr>
          <w:p w:rsidR="00EB66B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2 城区绿化覆盖率</w:t>
            </w:r>
          </w:p>
        </w:tc>
      </w:tr>
      <w:tr w:rsidR="00EB66BB" w:rsidRPr="009F52BE" w:rsidTr="00052CD8">
        <w:tc>
          <w:tcPr>
            <w:tcW w:w="4503" w:type="dxa"/>
          </w:tcPr>
          <w:p w:rsidR="00EB66BB" w:rsidRPr="009F52BE" w:rsidRDefault="00EB66BB" w:rsidP="00052CD8">
            <w:pPr>
              <w:spacing w:line="960" w:lineRule="auto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城区绿化覆盖率达40%以上。</w:t>
            </w:r>
          </w:p>
        </w:tc>
        <w:tc>
          <w:tcPr>
            <w:tcW w:w="7938" w:type="dxa"/>
          </w:tcPr>
          <w:p w:rsidR="00EB66BB" w:rsidRPr="009F52BE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南昌市全市城区总面积为483.31平方公里，绿化覆盖总面积20166.54公顷，绿化覆盖率41.68%。其中：市中心城区建成区面积376.74平方公里，城区绿化覆盖面积15552.83公顷，城区绿化覆盖率41.28%。</w:t>
            </w:r>
          </w:p>
        </w:tc>
        <w:tc>
          <w:tcPr>
            <w:tcW w:w="1733" w:type="dxa"/>
          </w:tcPr>
          <w:p w:rsidR="00EB66BB" w:rsidRPr="00E42F0D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Tr="00052CD8">
        <w:tc>
          <w:tcPr>
            <w:tcW w:w="14174" w:type="dxa"/>
            <w:gridSpan w:val="3"/>
          </w:tcPr>
          <w:p w:rsidR="00EB66B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3 城区树冠覆盖率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Pr="00E42F0D" w:rsidRDefault="00EB66BB" w:rsidP="00052CD8">
            <w:pPr>
              <w:spacing w:line="960" w:lineRule="auto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城区树冠覆盖率达26%以上。</w:t>
            </w:r>
          </w:p>
        </w:tc>
        <w:tc>
          <w:tcPr>
            <w:tcW w:w="7938" w:type="dxa"/>
          </w:tcPr>
          <w:p w:rsidR="00EB66BB" w:rsidRPr="00E42F0D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南昌市全市城区总面积为483.31平方公里，树冠覆盖面积10560.69公顷，树冠覆盖率26.88%。其中：市中心城区建成区面积376.74平方公里，城区树冠覆盖面积10560.69公顷，城区树冠覆盖率28.03%。</w:t>
            </w:r>
          </w:p>
        </w:tc>
        <w:tc>
          <w:tcPr>
            <w:tcW w:w="1733" w:type="dxa"/>
          </w:tcPr>
          <w:p w:rsidR="00EB66BB" w:rsidRPr="00E42F0D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63257F" w:rsidTr="00052CD8">
        <w:tc>
          <w:tcPr>
            <w:tcW w:w="14174" w:type="dxa"/>
            <w:gridSpan w:val="3"/>
          </w:tcPr>
          <w:p w:rsidR="00EB66BB" w:rsidRPr="0063257F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4 城区林荫道路率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960" w:lineRule="auto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城区主干路、次干路林荫道路率达62%以上。</w:t>
            </w:r>
          </w:p>
        </w:tc>
        <w:tc>
          <w:tcPr>
            <w:tcW w:w="7938" w:type="dxa"/>
          </w:tcPr>
          <w:p w:rsidR="00EB66BB" w:rsidRPr="0063257F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全市城区主干路、次干路道路总里程为1005.47公里，城区林荫道路总里程为658.32公里，城区林荫道路率达65.47%。其中市中心城区主干路、次干路道路总里程为604.89公里，城区林荫道路总里程为381.75公里，城区林荫道路率达63.11%。</w:t>
            </w:r>
          </w:p>
        </w:tc>
        <w:tc>
          <w:tcPr>
            <w:tcW w:w="1733" w:type="dxa"/>
          </w:tcPr>
          <w:p w:rsidR="00EB66BB" w:rsidRPr="0063257F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63257F" w:rsidTr="00052CD8">
        <w:tc>
          <w:tcPr>
            <w:tcW w:w="14174" w:type="dxa"/>
            <w:gridSpan w:val="3"/>
          </w:tcPr>
          <w:p w:rsidR="00EB66BB" w:rsidRPr="0063257F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5 村庄绿化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720" w:lineRule="auto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村庄林木覆盖率达到30%以上。</w:t>
            </w:r>
          </w:p>
        </w:tc>
        <w:tc>
          <w:tcPr>
            <w:tcW w:w="7938" w:type="dxa"/>
          </w:tcPr>
          <w:p w:rsidR="00EB66BB" w:rsidRPr="00320191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南昌市抽样村庄土地面积共155.98公顷平方米，林木覆盖面积48.82公顷，平均村庄林木绿化率抽样调查结果为31.30%。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72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E20AF2" w:rsidTr="00052CD8">
        <w:tc>
          <w:tcPr>
            <w:tcW w:w="14174" w:type="dxa"/>
            <w:gridSpan w:val="3"/>
          </w:tcPr>
          <w:p w:rsidR="00EB66BB" w:rsidRPr="00E20AF2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6 水岸绿化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注重江、河、湖、库等水体沿岸生态保护和修复，水体岸线自然化率达80%以上，适宜绿化的水岸绿化率达84%以上。</w:t>
            </w:r>
          </w:p>
        </w:tc>
        <w:tc>
          <w:tcPr>
            <w:tcW w:w="7938" w:type="dxa"/>
          </w:tcPr>
          <w:p w:rsidR="00EB66BB" w:rsidRPr="00E20AF2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南昌市境内的水体岸线长度达2258.12千米，其中适宜绿化里程1987.80千米，已绿化水岸里程1902.06千米，水岸林木绿化率达95.69%。水体自然岸线长度1880.64千米，水体岸线自然绿化率83.28%。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3F1222" w:rsidTr="00052CD8">
        <w:tc>
          <w:tcPr>
            <w:tcW w:w="14174" w:type="dxa"/>
            <w:gridSpan w:val="3"/>
          </w:tcPr>
          <w:p w:rsidR="00EB66BB" w:rsidRPr="003F1222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7 受损弃置地生态修复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受损弃置地生态修复率达80%以上</w:t>
            </w:r>
          </w:p>
        </w:tc>
        <w:tc>
          <w:tcPr>
            <w:tcW w:w="7938" w:type="dxa"/>
          </w:tcPr>
          <w:p w:rsidR="00EB66BB" w:rsidRPr="003F1222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南昌市共有受损面积1676441.98平方米，已完成修复面积1369466.00平方米，受损弃置地生态修复率为81.69%。</w:t>
            </w:r>
          </w:p>
        </w:tc>
        <w:tc>
          <w:tcPr>
            <w:tcW w:w="1733" w:type="dxa"/>
          </w:tcPr>
          <w:p w:rsidR="00EB66BB" w:rsidRPr="003F1222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3F1222" w:rsidTr="00052CD8">
        <w:tc>
          <w:tcPr>
            <w:tcW w:w="14174" w:type="dxa"/>
            <w:gridSpan w:val="3"/>
          </w:tcPr>
          <w:p w:rsidR="00EB66BB" w:rsidRPr="003F1222" w:rsidRDefault="00EB66BB" w:rsidP="00052CD8">
            <w:pPr>
              <w:spacing w:line="48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（二）森林健康</w:t>
            </w:r>
          </w:p>
        </w:tc>
      </w:tr>
      <w:tr w:rsidR="00EB66BB" w:rsidRPr="003F1222" w:rsidTr="00052CD8">
        <w:tc>
          <w:tcPr>
            <w:tcW w:w="14174" w:type="dxa"/>
            <w:gridSpan w:val="3"/>
          </w:tcPr>
          <w:p w:rsidR="00EB66BB" w:rsidRPr="003F1222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8 树种丰富度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城市森林树种丰富多样，形成多数种、多层次的森林景观，城区乡土树种使用率达80%以上，某一个树种的栽植数量不超过树木总数量的</w:t>
            </w:r>
            <w:r>
              <w:rPr>
                <w:rFonts w:ascii="微软雅黑" w:eastAsia="微软雅黑" w:hAnsi="微软雅黑" w:hint="eastAsia"/>
              </w:rPr>
              <w:lastRenderedPageBreak/>
              <w:t>20%。</w:t>
            </w:r>
          </w:p>
        </w:tc>
        <w:tc>
          <w:tcPr>
            <w:tcW w:w="7938" w:type="dxa"/>
          </w:tcPr>
          <w:p w:rsidR="00EB66BB" w:rsidRPr="000E41DF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南昌市城市森林树种丰富多样，形成多数种、多层次的森林景观，城区树种比较丰富，使用率最高的为樟树，栽植数量占所有树种总数量为19.65%；南昌市城区绿化乡土树种使用比例为81.04%。</w:t>
            </w:r>
          </w:p>
        </w:tc>
        <w:tc>
          <w:tcPr>
            <w:tcW w:w="1733" w:type="dxa"/>
          </w:tcPr>
          <w:p w:rsidR="00EB66BB" w:rsidRPr="000E41DF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F16C1E" w:rsidTr="00052CD8">
        <w:tc>
          <w:tcPr>
            <w:tcW w:w="14174" w:type="dxa"/>
            <w:gridSpan w:val="3"/>
          </w:tcPr>
          <w:p w:rsidR="00EB66BB" w:rsidRPr="00F16C1E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F16C1E">
              <w:rPr>
                <w:rFonts w:ascii="宋体" w:eastAsia="宋体" w:hAnsi="宋体" w:hint="eastAsia"/>
                <w:b/>
                <w:sz w:val="24"/>
              </w:rPr>
              <w:lastRenderedPageBreak/>
              <w:t>9 苗木使用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注重乡土树种苗木培育，使用良种壮苗，提倡实生苗、容器苗、全冠苗造林，严禁违法移植天然大树。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共有苗圃277家，育苗总面积11.99万亩，育苗总产量约8618.04万株，总产值约为27.2亿元。在造林绿化中人工用材林、经济林等良种使用率超过99%。在生态公益林和城市绿化中，当地种源的乡土树种使用比例均大于等于85.00%。未发现违法移植天然大树、古树进城现象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272A60" w:rsidTr="00052CD8">
        <w:tc>
          <w:tcPr>
            <w:tcW w:w="14174" w:type="dxa"/>
            <w:gridSpan w:val="3"/>
          </w:tcPr>
          <w:p w:rsidR="00EB66BB" w:rsidRPr="00272A60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272A60">
              <w:rPr>
                <w:rFonts w:ascii="宋体" w:eastAsia="宋体" w:hAnsi="宋体" w:hint="eastAsia"/>
                <w:b/>
                <w:sz w:val="24"/>
              </w:rPr>
              <w:t>10 生态养护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避免过度的人工干预，注重绿地土壤的有机覆盖和功能提升。</w:t>
            </w:r>
          </w:p>
        </w:tc>
        <w:tc>
          <w:tcPr>
            <w:tcW w:w="7938" w:type="dxa"/>
          </w:tcPr>
          <w:p w:rsidR="00EB66BB" w:rsidRPr="00272A60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南昌市在绿化管护中避免了过度的人工干预，注重森林、绿地土壤的有机覆盖和功能提升。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 w:rsidRPr="00272A60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272A60" w:rsidTr="00052CD8">
        <w:tc>
          <w:tcPr>
            <w:tcW w:w="14174" w:type="dxa"/>
            <w:gridSpan w:val="3"/>
          </w:tcPr>
          <w:p w:rsidR="00EB66BB" w:rsidRPr="00272A60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272A60">
              <w:rPr>
                <w:rFonts w:ascii="宋体" w:eastAsia="宋体" w:hAnsi="宋体" w:hint="eastAsia"/>
                <w:b/>
                <w:sz w:val="24"/>
              </w:rPr>
              <w:t>11 森林质量提升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before="240"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注重森林质量精准提升，每年完成需提升面积的10%以上，培育优质</w:t>
            </w:r>
            <w:proofErr w:type="gramStart"/>
            <w:r>
              <w:rPr>
                <w:rFonts w:ascii="微软雅黑" w:eastAsia="微软雅黑" w:hAnsi="微软雅黑" w:hint="eastAsia"/>
              </w:rPr>
              <w:t>高效城市</w:t>
            </w:r>
            <w:proofErr w:type="gramEnd"/>
            <w:r>
              <w:rPr>
                <w:rFonts w:ascii="微软雅黑" w:eastAsia="微软雅黑" w:hAnsi="微软雅黑" w:hint="eastAsia"/>
              </w:rPr>
              <w:t>森林。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注重森林质量精准提升，2021-2023年每年至少需开展森林质量提升1670.42公顷，2021年完成1875.87公顷，占总需提升面积的11.23%，2022年完成1823.52公顷，占总需提升面积的10.92%，2023年完成1997.13公顷，占总需提升面积的11.96%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 w:rsidRPr="003B1921"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B71467" w:rsidTr="00052CD8">
        <w:tc>
          <w:tcPr>
            <w:tcW w:w="14174" w:type="dxa"/>
            <w:gridSpan w:val="3"/>
          </w:tcPr>
          <w:p w:rsidR="00EB66BB" w:rsidRPr="00B71467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B71467">
              <w:rPr>
                <w:rFonts w:ascii="宋体" w:eastAsia="宋体" w:hAnsi="宋体" w:hint="eastAsia"/>
                <w:b/>
                <w:sz w:val="24"/>
              </w:rPr>
              <w:t>12 动物多样性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保护和选用食源蜜源植物，建设类型多样、自然稳定的生物栖息场所。大型森林、湿地等生态斑块通过生态廊道实现互联互通，提升生态系统多样性、稳定性、持续性。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高度重视生物多样性保护，注重保护和选用留鸟引鸟、食源蜜源职务，保护各种野生植物，营造良好的野生动物生活、栖息自然环境。南昌市加强野生动植物栖息地等生态斑块之间的连接，建设起了“一湖、两屏、三脉”为骨架的贯通性森林、湿地生态廊道，加强廊道内的森林、湿地等生态系统原真性、完整性保护，实现区域内</w:t>
            </w:r>
            <w:r>
              <w:rPr>
                <w:rFonts w:ascii="微软雅黑" w:eastAsia="微软雅黑" w:hAnsi="微软雅黑" w:hint="eastAsia"/>
              </w:rPr>
              <w:lastRenderedPageBreak/>
              <w:t>大型森林、湿地等生态斑块和关键栖息地之间互联互通和生态融合。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达标</w:t>
            </w:r>
          </w:p>
        </w:tc>
      </w:tr>
      <w:tr w:rsidR="00EB66BB" w:rsidRPr="00CE65DE" w:rsidTr="00052CD8">
        <w:tc>
          <w:tcPr>
            <w:tcW w:w="14174" w:type="dxa"/>
            <w:gridSpan w:val="3"/>
          </w:tcPr>
          <w:p w:rsidR="00EB66BB" w:rsidRPr="00CE65DE" w:rsidRDefault="00EB66BB" w:rsidP="00052CD8">
            <w:pPr>
              <w:spacing w:line="48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CE65DE">
              <w:rPr>
                <w:rFonts w:ascii="宋体" w:eastAsia="宋体" w:hAnsi="宋体" w:hint="eastAsia"/>
                <w:b/>
                <w:sz w:val="24"/>
              </w:rPr>
              <w:lastRenderedPageBreak/>
              <w:t>（三）生态福利</w:t>
            </w:r>
          </w:p>
        </w:tc>
      </w:tr>
      <w:tr w:rsidR="00EB66BB" w:rsidRPr="00CE65DE" w:rsidTr="00052CD8">
        <w:tc>
          <w:tcPr>
            <w:tcW w:w="14174" w:type="dxa"/>
            <w:gridSpan w:val="3"/>
          </w:tcPr>
          <w:p w:rsidR="00EB66BB" w:rsidRPr="00CE65DE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CE65DE">
              <w:rPr>
                <w:rFonts w:ascii="宋体" w:eastAsia="宋体" w:hAnsi="宋体" w:hint="eastAsia"/>
                <w:b/>
                <w:sz w:val="24"/>
              </w:rPr>
              <w:t>13</w:t>
            </w:r>
            <w:r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Pr="00CE65DE">
              <w:rPr>
                <w:rFonts w:ascii="宋体" w:eastAsia="宋体" w:hAnsi="宋体" w:hint="eastAsia"/>
                <w:b/>
                <w:sz w:val="24"/>
              </w:rPr>
              <w:t>城区公园绿地服务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公园绿地500m服务半径对城区覆盖达80%以上。</w:t>
            </w:r>
          </w:p>
        </w:tc>
        <w:tc>
          <w:tcPr>
            <w:tcW w:w="7938" w:type="dxa"/>
          </w:tcPr>
          <w:p w:rsidR="00EB66BB" w:rsidRPr="00274642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南昌市中心城区面积37674.13公顷，城区公园绿地面积3940.23公顷。经过Arcgis软件分析显示，公园绿地500米服务半径覆盖的城区面积30662.82公顷，公园绿地500米服务半径对城区覆盖率为81.39%。</w:t>
            </w:r>
          </w:p>
        </w:tc>
        <w:tc>
          <w:tcPr>
            <w:tcW w:w="1733" w:type="dxa"/>
          </w:tcPr>
          <w:p w:rsidR="00EB66BB" w:rsidRPr="00274642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36163E" w:rsidTr="00052CD8">
        <w:tc>
          <w:tcPr>
            <w:tcW w:w="14174" w:type="dxa"/>
            <w:gridSpan w:val="3"/>
          </w:tcPr>
          <w:p w:rsidR="00EB66BB" w:rsidRPr="0036163E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36163E">
              <w:rPr>
                <w:rFonts w:ascii="宋体" w:eastAsia="宋体" w:hAnsi="宋体" w:hint="eastAsia"/>
                <w:b/>
                <w:sz w:val="24"/>
              </w:rPr>
              <w:t>14 生态休闲场所服务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建有大型生态休闲场所，20km服务半径对市域覆盖达70%以上。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经过Arcgis软件分析显示，南昌市大型生态休闲场所20千米服务半径内对市域覆盖面积为524573.61公顷，大型生态休闲场所20千米服务半径覆盖度71.68%。</w:t>
            </w:r>
          </w:p>
        </w:tc>
        <w:tc>
          <w:tcPr>
            <w:tcW w:w="1733" w:type="dxa"/>
          </w:tcPr>
          <w:p w:rsidR="00EB66BB" w:rsidRPr="00DD7647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DD7647" w:rsidTr="00052CD8">
        <w:tc>
          <w:tcPr>
            <w:tcW w:w="14174" w:type="dxa"/>
            <w:gridSpan w:val="3"/>
          </w:tcPr>
          <w:p w:rsidR="00EB66BB" w:rsidRPr="00DD7647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DD7647">
              <w:rPr>
                <w:rFonts w:ascii="宋体" w:eastAsia="宋体" w:hAnsi="宋体" w:hint="eastAsia"/>
                <w:b/>
                <w:sz w:val="24"/>
              </w:rPr>
              <w:t>15 公园免费开放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财政投资建设、运营的公园向公众免费开放</w:t>
            </w:r>
          </w:p>
        </w:tc>
        <w:tc>
          <w:tcPr>
            <w:tcW w:w="7938" w:type="dxa"/>
          </w:tcPr>
          <w:p w:rsidR="00EB66BB" w:rsidRPr="00DD7647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南昌市财政投资建设的公园140个，均免费向公众开放，能够最大限度地让公众享受森林城市建设成果。</w:t>
            </w:r>
          </w:p>
        </w:tc>
        <w:tc>
          <w:tcPr>
            <w:tcW w:w="1733" w:type="dxa"/>
          </w:tcPr>
          <w:p w:rsidR="00EB66BB" w:rsidRPr="00DD7647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DD7647" w:rsidTr="00052CD8">
        <w:tc>
          <w:tcPr>
            <w:tcW w:w="14174" w:type="dxa"/>
            <w:gridSpan w:val="3"/>
          </w:tcPr>
          <w:p w:rsidR="00EB66BB" w:rsidRPr="00DD7647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DD7647">
              <w:rPr>
                <w:rFonts w:ascii="宋体" w:eastAsia="宋体" w:hAnsi="宋体" w:hint="eastAsia"/>
                <w:b/>
                <w:sz w:val="24"/>
              </w:rPr>
              <w:t>16 乡村公园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每个乡镇建设休闲公园1处以上，每个村庄建设公共休闲绿地1处以上。</w:t>
            </w:r>
          </w:p>
        </w:tc>
        <w:tc>
          <w:tcPr>
            <w:tcW w:w="7938" w:type="dxa"/>
          </w:tcPr>
          <w:p w:rsidR="00EB66BB" w:rsidRPr="00DD7647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南昌市共有乡镇80个、乡镇公园126个，平均每个乡镇建有乡镇公园1.58个；共有1125个行政村，1934处村庄公共休闲绿地，平均每个村庄建有村庄公园休闲绿地1.72处。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8C5B92" w:rsidTr="00052CD8">
        <w:tc>
          <w:tcPr>
            <w:tcW w:w="14174" w:type="dxa"/>
            <w:gridSpan w:val="3"/>
          </w:tcPr>
          <w:p w:rsidR="00EB66BB" w:rsidRPr="008C5B92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8C5B92">
              <w:rPr>
                <w:rFonts w:ascii="宋体" w:eastAsia="宋体" w:hAnsi="宋体" w:hint="eastAsia"/>
                <w:b/>
                <w:sz w:val="24"/>
              </w:rPr>
              <w:t>17 绿道网络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建设遍及城乡的绿道网络，城乡居民每万人拥</w:t>
            </w:r>
            <w:r>
              <w:rPr>
                <w:rFonts w:ascii="微软雅黑" w:eastAsia="微软雅黑" w:hAnsi="微软雅黑" w:hint="eastAsia"/>
              </w:rPr>
              <w:lastRenderedPageBreak/>
              <w:t>有的绿道长度0.5km以上。</w:t>
            </w:r>
          </w:p>
        </w:tc>
        <w:tc>
          <w:tcPr>
            <w:tcW w:w="7938" w:type="dxa"/>
          </w:tcPr>
          <w:p w:rsidR="00EB66BB" w:rsidRPr="008C5B92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南昌市大力建设遍及城乡的绿道网络，累计建设有绿道918.423公里，南昌市常住人</w:t>
            </w:r>
            <w:r>
              <w:rPr>
                <w:rFonts w:ascii="微软雅黑" w:eastAsia="微软雅黑" w:hAnsi="微软雅黑" w:hint="eastAsia"/>
              </w:rPr>
              <w:lastRenderedPageBreak/>
              <w:t>口653.81万人，城乡居民每万人拥有的绿道长度为1.40千米。</w:t>
            </w:r>
          </w:p>
        </w:tc>
        <w:tc>
          <w:tcPr>
            <w:tcW w:w="1733" w:type="dxa"/>
          </w:tcPr>
          <w:p w:rsidR="00EB66BB" w:rsidRPr="008C5B92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达标</w:t>
            </w:r>
          </w:p>
        </w:tc>
      </w:tr>
      <w:tr w:rsidR="00EB66BB" w:rsidRPr="008C5B92" w:rsidTr="00052CD8">
        <w:tc>
          <w:tcPr>
            <w:tcW w:w="14174" w:type="dxa"/>
            <w:gridSpan w:val="3"/>
          </w:tcPr>
          <w:p w:rsidR="00EB66BB" w:rsidRPr="008C5B92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8C5B92">
              <w:rPr>
                <w:rFonts w:ascii="宋体" w:eastAsia="宋体" w:hAnsi="宋体" w:hint="eastAsia"/>
                <w:b/>
                <w:sz w:val="24"/>
              </w:rPr>
              <w:lastRenderedPageBreak/>
              <w:t>18 生态产业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发展森林旅游、休闲、康养、食品等绿色生态产业，促进农民增收致富。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南昌市积极发展森林旅游、休闲、康养、食品等绿色生态产业，2022年，森林康养、生态旅游、森林食品及林下经济总产值超过62亿元，较好的促进了林农脱贫致富。</w:t>
            </w:r>
          </w:p>
        </w:tc>
        <w:tc>
          <w:tcPr>
            <w:tcW w:w="1733" w:type="dxa"/>
          </w:tcPr>
          <w:p w:rsidR="00EB66BB" w:rsidRPr="008C5B92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8C5B92" w:rsidTr="00052CD8">
        <w:tc>
          <w:tcPr>
            <w:tcW w:w="14174" w:type="dxa"/>
            <w:gridSpan w:val="3"/>
          </w:tcPr>
          <w:p w:rsidR="00EB66BB" w:rsidRPr="008C5B92" w:rsidRDefault="00EB66BB" w:rsidP="00052CD8">
            <w:pPr>
              <w:spacing w:line="48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8C5B92">
              <w:rPr>
                <w:rFonts w:ascii="宋体" w:eastAsia="宋体" w:hAnsi="宋体" w:hint="eastAsia"/>
                <w:b/>
                <w:sz w:val="24"/>
              </w:rPr>
              <w:t>（四）生态文化</w:t>
            </w:r>
          </w:p>
        </w:tc>
      </w:tr>
      <w:tr w:rsidR="00EB66BB" w:rsidRPr="008C5B92" w:rsidTr="00052CD8">
        <w:tc>
          <w:tcPr>
            <w:tcW w:w="14174" w:type="dxa"/>
            <w:gridSpan w:val="3"/>
          </w:tcPr>
          <w:p w:rsidR="00EB66BB" w:rsidRPr="008C5B92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8C5B92">
              <w:rPr>
                <w:rFonts w:ascii="宋体" w:eastAsia="宋体" w:hAnsi="宋体" w:hint="eastAsia"/>
                <w:b/>
                <w:sz w:val="24"/>
              </w:rPr>
              <w:t>19 生态科普教育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所辖县（市、区、旗）均建有1处以上参与式、体验式的生态课堂、生态场馆等生态科普教育场所。在城镇居民集中活动的场所，建有森林、湿地等生态标识系统。每年举办森林城市主题宣传活动5次以上。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共有34处生态科普教育基地，面积共8117.12平方米，所辖县（区）均建有1处以上生态科普教育场所，且各县（区）在城镇居民集中活动场所都建有生态标识系统。南昌市2021-2023年广泛开展森林城市主题宣传活动，年均举办宣传活动11次。</w:t>
            </w:r>
          </w:p>
        </w:tc>
        <w:tc>
          <w:tcPr>
            <w:tcW w:w="1733" w:type="dxa"/>
          </w:tcPr>
          <w:p w:rsidR="00EB66BB" w:rsidRPr="00BD195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BD195B" w:rsidTr="00052CD8">
        <w:tc>
          <w:tcPr>
            <w:tcW w:w="14174" w:type="dxa"/>
            <w:gridSpan w:val="3"/>
          </w:tcPr>
          <w:p w:rsidR="00EB66BB" w:rsidRPr="00BD195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BD195B">
              <w:rPr>
                <w:rFonts w:ascii="宋体" w:eastAsia="宋体" w:hAnsi="宋体" w:hint="eastAsia"/>
                <w:b/>
                <w:sz w:val="24"/>
              </w:rPr>
              <w:t>20 公众态度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公众对森林城市建设的知晓率和满意度达90%以上。所辖县（市、区、旗）均建有1处以上“互联网+全面义务植树基地”。</w:t>
            </w:r>
          </w:p>
        </w:tc>
        <w:tc>
          <w:tcPr>
            <w:tcW w:w="7938" w:type="dxa"/>
          </w:tcPr>
          <w:p w:rsidR="00EB66BB" w:rsidRPr="00BD195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南昌市公众对森林城市建设的知晓率为97.00%、满意度为96.00%，所辖县（市、区、旗）均建有1处以上“互联网+全面义务植树基地”。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BD195B" w:rsidTr="00052CD8">
        <w:tc>
          <w:tcPr>
            <w:tcW w:w="14174" w:type="dxa"/>
            <w:gridSpan w:val="3"/>
          </w:tcPr>
          <w:p w:rsidR="00EB66BB" w:rsidRPr="00BD195B" w:rsidRDefault="00EB66BB" w:rsidP="00052CD8">
            <w:pPr>
              <w:spacing w:line="48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BD195B">
              <w:rPr>
                <w:rFonts w:ascii="宋体" w:eastAsia="宋体" w:hAnsi="宋体" w:hint="eastAsia"/>
                <w:b/>
                <w:sz w:val="24"/>
              </w:rPr>
              <w:t>（五）组织管理</w:t>
            </w:r>
          </w:p>
        </w:tc>
      </w:tr>
      <w:tr w:rsidR="00EB66BB" w:rsidRPr="00BD195B" w:rsidTr="00052CD8">
        <w:tc>
          <w:tcPr>
            <w:tcW w:w="4503" w:type="dxa"/>
          </w:tcPr>
          <w:p w:rsidR="00EB66BB" w:rsidRPr="00BD195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BD195B">
              <w:rPr>
                <w:rFonts w:ascii="宋体" w:eastAsia="宋体" w:hAnsi="宋体" w:hint="eastAsia"/>
                <w:b/>
                <w:sz w:val="24"/>
              </w:rPr>
              <w:t>21 规划实施</w:t>
            </w:r>
          </w:p>
        </w:tc>
        <w:tc>
          <w:tcPr>
            <w:tcW w:w="7938" w:type="dxa"/>
          </w:tcPr>
          <w:p w:rsidR="00EB66BB" w:rsidRPr="00BD195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733" w:type="dxa"/>
          </w:tcPr>
          <w:p w:rsidR="00EB66BB" w:rsidRPr="00BD195B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如期完成国家森林城市建设总体规划确定的工作任务。</w:t>
            </w:r>
          </w:p>
        </w:tc>
        <w:tc>
          <w:tcPr>
            <w:tcW w:w="7938" w:type="dxa"/>
          </w:tcPr>
          <w:p w:rsidR="00EB66BB" w:rsidRPr="00BD195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2012年南昌市人民政府委托中国林业科学研究院编制《南昌森林城市建设总体规划》（2011-2020）。2013年《南昌森林城市建设总体规划》经南昌市人民政府批准并印发实施，该《规划》已颁布并实施达10年，以该规划为基础对工程任务逐年、逐级分解，基本上按照规划实施时间节点高质量地完成了相关任务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9A54BC" w:rsidTr="00052CD8">
        <w:tc>
          <w:tcPr>
            <w:tcW w:w="14174" w:type="dxa"/>
            <w:gridSpan w:val="3"/>
          </w:tcPr>
          <w:p w:rsidR="00EB66BB" w:rsidRPr="009A54BC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9A54BC">
              <w:rPr>
                <w:rFonts w:ascii="宋体" w:eastAsia="宋体" w:hAnsi="宋体" w:hint="eastAsia"/>
                <w:b/>
                <w:sz w:val="24"/>
              </w:rPr>
              <w:t>22 示范活动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积极开展森林社区、森林单位、森林乡镇、森林村庄、森林人家等多种形式示范活动。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南昌市积极开展森林村庄、生态乡镇、生态村等多种形式示范活动，组织体系较为完善，起到示范带头作用。</w:t>
            </w:r>
          </w:p>
        </w:tc>
        <w:tc>
          <w:tcPr>
            <w:tcW w:w="1733" w:type="dxa"/>
          </w:tcPr>
          <w:p w:rsidR="00EB66BB" w:rsidRPr="008E2041" w:rsidRDefault="00EB66BB" w:rsidP="00052CD8">
            <w:pPr>
              <w:spacing w:line="400" w:lineRule="exact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0B5CB8" w:rsidTr="00052CD8">
        <w:tc>
          <w:tcPr>
            <w:tcW w:w="14174" w:type="dxa"/>
            <w:gridSpan w:val="3"/>
          </w:tcPr>
          <w:p w:rsidR="00EB66BB" w:rsidRPr="000B5CB8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0B5CB8">
              <w:rPr>
                <w:rFonts w:ascii="宋体" w:eastAsia="宋体" w:hAnsi="宋体" w:hint="eastAsia"/>
                <w:b/>
                <w:sz w:val="24"/>
              </w:rPr>
              <w:t>23 体验服务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开展观花、赏叶、负氧离子等森林游憩环境监测预报1项以上，增强市民对森林城市建设成效的感受。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南昌市在森林城市建设中，注重增强市民对森林城市建设成效的感受，开展观花、赏叶、负氧离子等森林游憩环境监测预报3类112项。具体包括开展观花、赏叶物候信息传递：如观花指南、赏花地图等</w:t>
            </w:r>
            <w:proofErr w:type="gramStart"/>
            <w:r>
              <w:rPr>
                <w:rFonts w:ascii="微软雅黑" w:eastAsia="微软雅黑" w:hAnsi="微软雅黑" w:hint="eastAsia"/>
              </w:rPr>
              <w:t>讯息</w:t>
            </w:r>
            <w:proofErr w:type="gramEnd"/>
            <w:r>
              <w:rPr>
                <w:rFonts w:ascii="微软雅黑" w:eastAsia="微软雅黑" w:hAnsi="微软雅黑" w:hint="eastAsia"/>
              </w:rPr>
              <w:t>推送91项；开展负氧离子等森林游憩环境监测预报21项。</w:t>
            </w:r>
          </w:p>
        </w:tc>
        <w:tc>
          <w:tcPr>
            <w:tcW w:w="1733" w:type="dxa"/>
          </w:tcPr>
          <w:p w:rsidR="00EB66BB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  <w:tr w:rsidR="00EB66BB" w:rsidRPr="00A346C4" w:rsidTr="00052CD8">
        <w:tc>
          <w:tcPr>
            <w:tcW w:w="14174" w:type="dxa"/>
            <w:gridSpan w:val="3"/>
          </w:tcPr>
          <w:p w:rsidR="00EB66BB" w:rsidRPr="00A346C4" w:rsidRDefault="00EB66BB" w:rsidP="00052CD8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A346C4">
              <w:rPr>
                <w:rFonts w:ascii="宋体" w:eastAsia="宋体" w:hAnsi="宋体" w:hint="eastAsia"/>
                <w:b/>
                <w:sz w:val="24"/>
              </w:rPr>
              <w:t>24档案管理</w:t>
            </w:r>
          </w:p>
        </w:tc>
      </w:tr>
      <w:tr w:rsidR="00EB66BB" w:rsidRPr="00E42F0D" w:rsidTr="00052CD8">
        <w:tc>
          <w:tcPr>
            <w:tcW w:w="4503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档案完整规范，相关技术图件齐备，实现科学化、信息化管理。</w:t>
            </w:r>
          </w:p>
        </w:tc>
        <w:tc>
          <w:tcPr>
            <w:tcW w:w="7938" w:type="dxa"/>
          </w:tcPr>
          <w:p w:rsidR="00EB66BB" w:rsidRDefault="00EB66BB" w:rsidP="00052CD8">
            <w:pPr>
              <w:spacing w:line="40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南昌市重视森林城市建设，持续推进国家森林城市建设，贯彻落实国家森林城市决策部署。通过规范流程、科学管理、严格落实，加强督导检查，确保</w:t>
            </w:r>
            <w:proofErr w:type="gramStart"/>
            <w:r>
              <w:rPr>
                <w:rFonts w:ascii="微软雅黑" w:eastAsia="微软雅黑" w:hAnsi="微软雅黑" w:hint="eastAsia"/>
              </w:rPr>
              <w:t>了创森档案</w:t>
            </w:r>
            <w:proofErr w:type="gramEnd"/>
            <w:r>
              <w:rPr>
                <w:rFonts w:ascii="微软雅黑" w:eastAsia="微软雅黑" w:hAnsi="微软雅黑" w:hint="eastAsia"/>
              </w:rPr>
              <w:t>收集的完整性、准确性和系统性，实现了档案管理的规范化、科学化和信息化。</w:t>
            </w:r>
          </w:p>
        </w:tc>
        <w:tc>
          <w:tcPr>
            <w:tcW w:w="1733" w:type="dxa"/>
          </w:tcPr>
          <w:p w:rsidR="00EB66BB" w:rsidRPr="00A346C4" w:rsidRDefault="00EB66BB" w:rsidP="00052CD8">
            <w:pPr>
              <w:spacing w:line="9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达标</w:t>
            </w:r>
          </w:p>
        </w:tc>
      </w:tr>
    </w:tbl>
    <w:p w:rsidR="00EB66BB" w:rsidRDefault="00EB66BB"/>
    <w:sectPr w:rsidR="00EB66BB" w:rsidSect="00EB66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6BB"/>
    <w:rsid w:val="00EB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6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6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1737</Words>
  <Characters>2015</Characters>
  <Application>Microsoft Office Word</Application>
  <DocSecurity>0</DocSecurity>
  <Lines>167</Lines>
  <Paragraphs>178</Paragraphs>
  <ScaleCrop>false</ScaleCrop>
  <Company/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宋南</dc:creator>
  <cp:lastModifiedBy>宋南</cp:lastModifiedBy>
  <cp:revision>1</cp:revision>
  <dcterms:created xsi:type="dcterms:W3CDTF">2024-10-22T06:37:00Z</dcterms:created>
  <dcterms:modified xsi:type="dcterms:W3CDTF">2024-10-22T06:37:00Z</dcterms:modified>
</cp:coreProperties>
</file>